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87756" w14:textId="3B1109F3" w:rsidR="00102F2B" w:rsidRPr="00756A09" w:rsidRDefault="00102F2B" w:rsidP="00102F2B">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proofErr w:type="spellStart"/>
      <w:r w:rsidRPr="006A46FF">
        <w:rPr>
          <w:rFonts w:ascii="Arial" w:eastAsia="Times New Roman" w:hAnsi="Arial"/>
          <w:b/>
          <w:sz w:val="24"/>
          <w:szCs w:val="24"/>
          <w:lang w:val="en-US" w:eastAsia="en-US"/>
        </w:rPr>
        <w:t>R4</w:t>
      </w:r>
      <w:proofErr w:type="spellEnd"/>
      <w:r w:rsidRPr="006A46FF">
        <w:rPr>
          <w:rFonts w:ascii="Arial" w:eastAsia="Times New Roman" w:hAnsi="Arial"/>
          <w:b/>
          <w:sz w:val="24"/>
          <w:szCs w:val="24"/>
          <w:lang w:val="en-US" w:eastAsia="en-US"/>
        </w:rPr>
        <w:t>-25</w:t>
      </w:r>
      <w:r w:rsidR="006A46FF" w:rsidRPr="006A46FF">
        <w:rPr>
          <w:rFonts w:ascii="Arial" w:eastAsia="Times New Roman" w:hAnsi="Arial"/>
          <w:b/>
          <w:sz w:val="24"/>
          <w:szCs w:val="24"/>
          <w:lang w:val="en-US" w:eastAsia="en-US"/>
        </w:rPr>
        <w:t>11397</w:t>
      </w:r>
    </w:p>
    <w:p w14:paraId="43C6F72F" w14:textId="77777777" w:rsidR="00102F2B" w:rsidRPr="00756A09" w:rsidRDefault="00102F2B" w:rsidP="00102F2B">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102F2B" w:rsidRDefault="00DE67D1" w:rsidP="00DE67D1">
      <w:pPr>
        <w:tabs>
          <w:tab w:val="left" w:pos="1985"/>
        </w:tabs>
        <w:spacing w:after="0"/>
        <w:jc w:val="both"/>
        <w:rPr>
          <w:rFonts w:ascii="Arial" w:hAnsi="Arial" w:cs="Arial"/>
          <w:b/>
          <w:sz w:val="24"/>
          <w:lang w:val="en-US" w:eastAsia="ja-JP"/>
        </w:rPr>
      </w:pPr>
    </w:p>
    <w:p w14:paraId="4779FC95" w14:textId="00A9A9E2" w:rsidR="00225428" w:rsidRPr="00225428"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F337C" w:rsidRPr="009F337C">
        <w:rPr>
          <w:rFonts w:ascii="Arial" w:hAnsi="Arial" w:cs="Arial"/>
          <w:sz w:val="24"/>
          <w:szCs w:val="22"/>
        </w:rPr>
        <w:t>7.27.3.2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01C281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75443">
        <w:rPr>
          <w:rFonts w:ascii="Arial" w:hAnsi="Arial" w:cs="Arial"/>
          <w:sz w:val="24"/>
          <w:lang w:val="en-US" w:eastAsia="ja-JP"/>
        </w:rPr>
        <w:t xml:space="preserve">NR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496C4476" w:rsidR="00BE63E2" w:rsidRDefault="00B75443" w:rsidP="00833CE7">
      <w:pPr>
        <w:spacing w:after="120"/>
        <w:jc w:val="both"/>
      </w:pPr>
      <w:r>
        <w:t xml:space="preserve">NR NTN </w:t>
      </w:r>
      <w:r w:rsidR="00893C2B">
        <w:t xml:space="preserve">UL capacity enhancement work is on-going in RAN1. </w:t>
      </w:r>
      <w:r w:rsidR="006F3C4B">
        <w:t xml:space="preserve">RAN4 has had initial discussion on whether any specified scheme results in RAN4 specification impact. </w:t>
      </w:r>
      <w:r w:rsidR="00D45C87">
        <w:t>Now RAN4 received an LS from RAN1</w:t>
      </w:r>
      <w:r w:rsidR="00AB7AA3">
        <w:t xml:space="preserve"> stating that RAN1 assumes that UE is required to maintain phase continuity and power consistency for duration of one OCC group. </w:t>
      </w:r>
      <w:r w:rsidR="006F3C4B">
        <w:t>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899C6FE" w14:textId="442A1044" w:rsidR="00402783" w:rsidRDefault="00D54B99" w:rsidP="00445E27">
      <w:pPr>
        <w:spacing w:after="120"/>
        <w:rPr>
          <w:bCs/>
        </w:rPr>
      </w:pPr>
      <w:r w:rsidRPr="00D63F7F">
        <w:rPr>
          <w:bCs/>
          <w:noProof/>
        </w:rPr>
        <mc:AlternateContent>
          <mc:Choice Requires="wps">
            <w:drawing>
              <wp:anchor distT="45720" distB="45720" distL="114300" distR="114300" simplePos="0" relativeHeight="251659264" behindDoc="0" locked="0" layoutInCell="1" allowOverlap="1" wp14:anchorId="1EA3E121" wp14:editId="5B458940">
                <wp:simplePos x="0" y="0"/>
                <wp:positionH relativeFrom="margin">
                  <wp:posOffset>-30196</wp:posOffset>
                </wp:positionH>
                <wp:positionV relativeFrom="paragraph">
                  <wp:posOffset>352558</wp:posOffset>
                </wp:positionV>
                <wp:extent cx="5869305" cy="2252980"/>
                <wp:effectExtent l="0" t="0" r="1714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2252980"/>
                        </a:xfrm>
                        <a:prstGeom prst="rect">
                          <a:avLst/>
                        </a:prstGeom>
                        <a:solidFill>
                          <a:srgbClr val="FFFFFF"/>
                        </a:solidFill>
                        <a:ln w="9525">
                          <a:solidFill>
                            <a:srgbClr val="000000"/>
                          </a:solidFill>
                          <a:miter lim="800000"/>
                          <a:headEnd/>
                          <a:tailEnd/>
                        </a:ln>
                      </wps:spPr>
                      <wps:txbx>
                        <w:txbxContent>
                          <w:p w14:paraId="59720BAF" w14:textId="3AFF455A" w:rsidR="00D63F7F" w:rsidRDefault="00D54B99">
                            <w:pPr>
                              <w:rPr>
                                <w:sz w:val="10"/>
                                <w:szCs w:val="10"/>
                                <w:lang w:val="en-US"/>
                              </w:rPr>
                            </w:pPr>
                            <w:r>
                              <w:rPr>
                                <w:noProof/>
                              </w:rPr>
                              <w:drawing>
                                <wp:inline distT="0" distB="0" distL="0" distR="0" wp14:anchorId="6E146F53" wp14:editId="20FFB6FE">
                                  <wp:extent cx="5206704" cy="2053050"/>
                                  <wp:effectExtent l="0" t="0" r="0" b="4445"/>
                                  <wp:docPr id="1820106622" name="Picture 1" descr="A black and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088614" name="Picture 1" descr="A black and white text on a white background&#10;&#10;AI-generated content may be incorrect."/>
                                          <pic:cNvPicPr/>
                                        </pic:nvPicPr>
                                        <pic:blipFill>
                                          <a:blip r:embed="rId7"/>
                                          <a:stretch>
                                            <a:fillRect/>
                                          </a:stretch>
                                        </pic:blipFill>
                                        <pic:spPr>
                                          <a:xfrm>
                                            <a:off x="0" y="0"/>
                                            <a:ext cx="5222222" cy="2059169"/>
                                          </a:xfrm>
                                          <a:prstGeom prst="rect">
                                            <a:avLst/>
                                          </a:prstGeom>
                                        </pic:spPr>
                                      </pic:pic>
                                    </a:graphicData>
                                  </a:graphic>
                                </wp:inline>
                              </w:drawing>
                            </w:r>
                          </w:p>
                          <w:p w14:paraId="0E93720A" w14:textId="417F5E21" w:rsidR="00E47D0B" w:rsidRPr="006C5A08" w:rsidRDefault="00E47D0B" w:rsidP="00D54B99">
                            <w:pPr>
                              <w:jc w:val="center"/>
                              <w:rPr>
                                <w:sz w:val="10"/>
                                <w:szCs w:val="1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3E121" id="_x0000_t202" coordsize="21600,21600" o:spt="202" path="m,l,21600r21600,l21600,xe">
                <v:stroke joinstyle="miter"/>
                <v:path gradientshapeok="t" o:connecttype="rect"/>
              </v:shapetype>
              <v:shape id="Text Box 2" o:spid="_x0000_s1026" type="#_x0000_t202" style="position:absolute;margin-left:-2.4pt;margin-top:27.75pt;width:462.15pt;height:177.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">
                <v:textbox>
                  <w:txbxContent>
                    <w:p w14:paraId="59720BAF" w14:textId="3AFF455A" w:rsidR="00D63F7F" w:rsidRDefault="00D54B99">
                      <w:pPr>
                        <w:rPr>
                          <w:sz w:val="10"/>
                          <w:szCs w:val="10"/>
                          <w:lang w:val="en-US"/>
                        </w:rPr>
                      </w:pPr>
                      <w:r>
                        <w:rPr>
                          <w:noProof/>
                        </w:rPr>
                        <w:drawing>
                          <wp:inline distT="0" distB="0" distL="0" distR="0" wp14:anchorId="6E146F53" wp14:editId="20FFB6FE">
                            <wp:extent cx="5206704" cy="2053050"/>
                            <wp:effectExtent l="0" t="0" r="0" b="4445"/>
                            <wp:docPr id="1820106622" name="Picture 1" descr="A black and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088614" name="Picture 1" descr="A black and white text on a white background&#10;&#10;AI-generated content may be incorrect."/>
                                    <pic:cNvPicPr/>
                                  </pic:nvPicPr>
                                  <pic:blipFill>
                                    <a:blip r:embed="rId8"/>
                                    <a:stretch>
                                      <a:fillRect/>
                                    </a:stretch>
                                  </pic:blipFill>
                                  <pic:spPr>
                                    <a:xfrm>
                                      <a:off x="0" y="0"/>
                                      <a:ext cx="5222222" cy="2059169"/>
                                    </a:xfrm>
                                    <a:prstGeom prst="rect">
                                      <a:avLst/>
                                    </a:prstGeom>
                                  </pic:spPr>
                                </pic:pic>
                              </a:graphicData>
                            </a:graphic>
                          </wp:inline>
                        </w:drawing>
                      </w:r>
                    </w:p>
                    <w:p w14:paraId="0E93720A" w14:textId="417F5E21" w:rsidR="00E47D0B" w:rsidRPr="006C5A08" w:rsidRDefault="00E47D0B" w:rsidP="00D54B99">
                      <w:pPr>
                        <w:jc w:val="center"/>
                        <w:rPr>
                          <w:sz w:val="10"/>
                          <w:szCs w:val="10"/>
                          <w:lang w:val="en-US"/>
                        </w:rPr>
                      </w:pPr>
                    </w:p>
                  </w:txbxContent>
                </v:textbox>
                <w10:wrap type="square" anchorx="margin"/>
              </v:shape>
            </w:pict>
          </mc:Fallback>
        </mc:AlternateContent>
      </w:r>
      <w:r w:rsidR="00E47D0B">
        <w:rPr>
          <w:bCs/>
        </w:rPr>
        <w:t>An LS was sent from RAN1 [1], with contents reproduced below</w:t>
      </w:r>
      <w:r w:rsidR="00A42313">
        <w:rPr>
          <w:bCs/>
        </w:rPr>
        <w:t>.</w:t>
      </w:r>
    </w:p>
    <w:p w14:paraId="5EEFEDE5" w14:textId="77777777" w:rsidR="00A42313" w:rsidRDefault="00A42313" w:rsidP="00445E27">
      <w:pPr>
        <w:spacing w:after="120"/>
        <w:rPr>
          <w:bCs/>
        </w:rPr>
      </w:pPr>
    </w:p>
    <w:p w14:paraId="74E8737A" w14:textId="05112BC4" w:rsidR="00A42313" w:rsidRDefault="00A42313" w:rsidP="00445E27">
      <w:pPr>
        <w:spacing w:after="120"/>
        <w:rPr>
          <w:bCs/>
        </w:rPr>
      </w:pPr>
      <w:r>
        <w:rPr>
          <w:bCs/>
        </w:rPr>
        <w:t xml:space="preserve">The LS mentions both phase continuity and </w:t>
      </w:r>
      <w:r w:rsidR="00616613">
        <w:rPr>
          <w:bCs/>
        </w:rPr>
        <w:t>power consistency</w:t>
      </w:r>
      <w:r w:rsidR="008270D7">
        <w:rPr>
          <w:bCs/>
        </w:rPr>
        <w:t>. Currently RAN4 specification includes requirements for</w:t>
      </w:r>
      <w:r w:rsidR="004A11C6">
        <w:rPr>
          <w:bCs/>
        </w:rPr>
        <w:t xml:space="preserve"> phase continuity for</w:t>
      </w:r>
      <w:r w:rsidR="008270D7">
        <w:rPr>
          <w:bCs/>
        </w:rPr>
        <w:t xml:space="preserve"> DMRS bundling</w:t>
      </w:r>
      <w:r w:rsidR="004A11C6">
        <w:rPr>
          <w:bCs/>
        </w:rPr>
        <w:t xml:space="preserve">. However, looking into the capability </w:t>
      </w:r>
      <w:r w:rsidR="00B12440">
        <w:rPr>
          <w:bCs/>
        </w:rPr>
        <w:t xml:space="preserve">definitions for DMRS bundling, </w:t>
      </w:r>
      <w:r w:rsidR="00616613">
        <w:rPr>
          <w:bCs/>
        </w:rPr>
        <w:t>also power consistency is covered:</w:t>
      </w:r>
    </w:p>
    <w:p w14:paraId="05E2C9FC" w14:textId="77777777" w:rsidR="00070115" w:rsidRDefault="00070115" w:rsidP="00445E27">
      <w:pPr>
        <w:spacing w:after="120"/>
        <w:rPr>
          <w:bCs/>
        </w:rPr>
      </w:pPr>
    </w:p>
    <w:p w14:paraId="219EB2B1" w14:textId="4A876222" w:rsidR="00616613" w:rsidRDefault="00616613" w:rsidP="00616613">
      <w:pPr>
        <w:spacing w:after="120"/>
        <w:jc w:val="center"/>
        <w:rPr>
          <w:bCs/>
        </w:rPr>
      </w:pPr>
      <w:r w:rsidRPr="00616613">
        <w:rPr>
          <w:bCs/>
          <w:noProof/>
        </w:rPr>
        <w:drawing>
          <wp:inline distT="0" distB="0" distL="0" distR="0" wp14:anchorId="46CC7E07" wp14:editId="0CDE5187">
            <wp:extent cx="5705638" cy="1005101"/>
            <wp:effectExtent l="0" t="0" r="0" b="5080"/>
            <wp:docPr id="2059940296"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940296" name="Picture 1" descr="A close-up of a white background&#10;&#10;AI-generated content may be incorrect."/>
                    <pic:cNvPicPr/>
                  </pic:nvPicPr>
                  <pic:blipFill>
                    <a:blip r:embed="rId9"/>
                    <a:stretch>
                      <a:fillRect/>
                    </a:stretch>
                  </pic:blipFill>
                  <pic:spPr>
                    <a:xfrm>
                      <a:off x="0" y="0"/>
                      <a:ext cx="5747969" cy="1012558"/>
                    </a:xfrm>
                    <a:prstGeom prst="rect">
                      <a:avLst/>
                    </a:prstGeom>
                  </pic:spPr>
                </pic:pic>
              </a:graphicData>
            </a:graphic>
          </wp:inline>
        </w:drawing>
      </w:r>
    </w:p>
    <w:p w14:paraId="52D31F97" w14:textId="6F020D22" w:rsidR="00CA03B8" w:rsidRDefault="00CA03B8" w:rsidP="00445E27">
      <w:pPr>
        <w:spacing w:after="120"/>
        <w:rPr>
          <w:b/>
        </w:rPr>
      </w:pPr>
    </w:p>
    <w:p w14:paraId="328B1241" w14:textId="77777777" w:rsidR="00CA03B8" w:rsidRDefault="00CA03B8" w:rsidP="00CA03B8">
      <w:pPr>
        <w:spacing w:after="120"/>
        <w:jc w:val="center"/>
        <w:rPr>
          <w:b/>
        </w:rPr>
      </w:pPr>
      <w:r w:rsidRPr="00CA03B8">
        <w:rPr>
          <w:b/>
          <w:noProof/>
        </w:rPr>
        <w:lastRenderedPageBreak/>
        <w:drawing>
          <wp:inline distT="0" distB="0" distL="0" distR="0" wp14:anchorId="1244695D" wp14:editId="520E4502">
            <wp:extent cx="5526124" cy="2750163"/>
            <wp:effectExtent l="0" t="0" r="0" b="0"/>
            <wp:docPr id="102513667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36672" name="Picture 1" descr="A screenshot of a computer&#10;&#10;AI-generated content may be incorrect."/>
                    <pic:cNvPicPr/>
                  </pic:nvPicPr>
                  <pic:blipFill>
                    <a:blip r:embed="rId10"/>
                    <a:stretch>
                      <a:fillRect/>
                    </a:stretch>
                  </pic:blipFill>
                  <pic:spPr>
                    <a:xfrm>
                      <a:off x="0" y="0"/>
                      <a:ext cx="5537664" cy="2755906"/>
                    </a:xfrm>
                    <a:prstGeom prst="rect">
                      <a:avLst/>
                    </a:prstGeom>
                  </pic:spPr>
                </pic:pic>
              </a:graphicData>
            </a:graphic>
          </wp:inline>
        </w:drawing>
      </w:r>
    </w:p>
    <w:p w14:paraId="15C82CDD" w14:textId="77777777" w:rsidR="00CA03B8" w:rsidRDefault="00CA03B8" w:rsidP="00CA03B8">
      <w:pPr>
        <w:spacing w:after="120"/>
        <w:rPr>
          <w:b/>
        </w:rPr>
      </w:pPr>
    </w:p>
    <w:p w14:paraId="0EB2F539" w14:textId="1C481E89" w:rsidR="00E47D0B" w:rsidRPr="00616613" w:rsidRDefault="00616613" w:rsidP="00CA03B8">
      <w:pPr>
        <w:spacing w:after="120"/>
        <w:rPr>
          <w:b/>
        </w:rPr>
      </w:pPr>
      <w:r w:rsidRPr="00616613">
        <w:rPr>
          <w:b/>
        </w:rPr>
        <w:t>Observation 1:</w:t>
      </w:r>
      <w:r>
        <w:rPr>
          <w:b/>
        </w:rPr>
        <w:t xml:space="preserve"> DMRS-bundling phase continuity requirements cover also power consistency.</w:t>
      </w:r>
    </w:p>
    <w:p w14:paraId="37162D2B" w14:textId="4337B992" w:rsidR="00D01ED7" w:rsidRDefault="00421DBE" w:rsidP="00445E27">
      <w:pPr>
        <w:spacing w:after="120"/>
        <w:rPr>
          <w:bCs/>
        </w:rPr>
      </w:pPr>
      <w:r>
        <w:rPr>
          <w:bCs/>
        </w:rPr>
        <w:t xml:space="preserve">In TS 38.331, the smallest duration which can be indited for </w:t>
      </w:r>
      <w:r w:rsidR="00A60EB3">
        <w:rPr>
          <w:bCs/>
        </w:rPr>
        <w:t xml:space="preserve">FDD in </w:t>
      </w:r>
      <w:proofErr w:type="spellStart"/>
      <w:r w:rsidR="00A60EB3">
        <w:rPr>
          <w:bCs/>
          <w:i/>
          <w:iCs/>
        </w:rPr>
        <w:t>MaxDurationDMRS</w:t>
      </w:r>
      <w:proofErr w:type="spellEnd"/>
      <w:r w:rsidR="00A60EB3">
        <w:rPr>
          <w:bCs/>
          <w:i/>
          <w:iCs/>
        </w:rPr>
        <w:t>-Bundling-</w:t>
      </w:r>
      <w:proofErr w:type="spellStart"/>
      <w:r w:rsidR="00A60EB3">
        <w:rPr>
          <w:bCs/>
          <w:i/>
          <w:iCs/>
        </w:rPr>
        <w:t>r17</w:t>
      </w:r>
      <w:proofErr w:type="spellEnd"/>
      <w:r w:rsidR="00A60EB3">
        <w:rPr>
          <w:bCs/>
        </w:rPr>
        <w:t xml:space="preserve"> is 4</w:t>
      </w:r>
      <w:r w:rsidR="00304F6E">
        <w:rPr>
          <w:bCs/>
        </w:rPr>
        <w:t xml:space="preserve"> slots. Simi</w:t>
      </w:r>
      <w:r w:rsidR="007B645A">
        <w:rPr>
          <w:bCs/>
        </w:rPr>
        <w:t xml:space="preserve">larly the smallest duration possible for </w:t>
      </w:r>
      <w:proofErr w:type="spellStart"/>
      <w:r w:rsidR="007B645A" w:rsidRPr="007B645A">
        <w:rPr>
          <w:bCs/>
          <w:i/>
          <w:iCs/>
        </w:rPr>
        <w:t>ntn</w:t>
      </w:r>
      <w:proofErr w:type="spellEnd"/>
      <w:r w:rsidR="007B645A" w:rsidRPr="007B645A">
        <w:rPr>
          <w:bCs/>
          <w:i/>
          <w:iCs/>
        </w:rPr>
        <w:t>-DMRS-</w:t>
      </w:r>
      <w:proofErr w:type="spellStart"/>
      <w:r w:rsidR="007B645A" w:rsidRPr="007B645A">
        <w:rPr>
          <w:bCs/>
          <w:i/>
          <w:iCs/>
        </w:rPr>
        <w:t>BundlingNGSO</w:t>
      </w:r>
      <w:proofErr w:type="spellEnd"/>
      <w:r w:rsidR="007B645A" w:rsidRPr="007B645A">
        <w:rPr>
          <w:bCs/>
          <w:i/>
          <w:iCs/>
        </w:rPr>
        <w:t>-</w:t>
      </w:r>
      <w:proofErr w:type="spellStart"/>
      <w:r w:rsidR="007B645A" w:rsidRPr="007B645A">
        <w:rPr>
          <w:bCs/>
          <w:i/>
          <w:iCs/>
        </w:rPr>
        <w:t>r18</w:t>
      </w:r>
      <w:proofErr w:type="spellEnd"/>
      <w:r w:rsidR="007B645A">
        <w:rPr>
          <w:bCs/>
        </w:rPr>
        <w:t xml:space="preserve"> is 4 slots. </w:t>
      </w:r>
      <w:r w:rsidR="006A132D">
        <w:rPr>
          <w:bCs/>
        </w:rPr>
        <w:t>Therefore,</w:t>
      </w:r>
      <w:r w:rsidR="007B645A">
        <w:rPr>
          <w:bCs/>
        </w:rPr>
        <w:t xml:space="preserve"> the </w:t>
      </w:r>
      <w:r w:rsidR="00D01ED7">
        <w:rPr>
          <w:bCs/>
        </w:rPr>
        <w:t>difficulty</w:t>
      </w:r>
      <w:r w:rsidR="007B645A">
        <w:rPr>
          <w:bCs/>
        </w:rPr>
        <w:t xml:space="preserve"> </w:t>
      </w:r>
      <w:r w:rsidR="00D01ED7">
        <w:rPr>
          <w:bCs/>
        </w:rPr>
        <w:t>to</w:t>
      </w:r>
      <w:r w:rsidR="007B645A">
        <w:rPr>
          <w:bCs/>
        </w:rPr>
        <w:t xml:space="preserve"> </w:t>
      </w:r>
      <w:r w:rsidR="00D01ED7">
        <w:rPr>
          <w:bCs/>
        </w:rPr>
        <w:t>achieve phase continuity does not increase compared to DMRS bundling.</w:t>
      </w:r>
    </w:p>
    <w:p w14:paraId="692F7C03" w14:textId="053163D2" w:rsidR="00E47D0B" w:rsidRDefault="00D01ED7" w:rsidP="00445E27">
      <w:pPr>
        <w:spacing w:after="120"/>
        <w:rPr>
          <w:b/>
        </w:rPr>
      </w:pPr>
      <w:r w:rsidRPr="00D01ED7">
        <w:rPr>
          <w:b/>
        </w:rPr>
        <w:t>Observation 2:</w:t>
      </w:r>
      <w:r>
        <w:rPr>
          <w:b/>
        </w:rPr>
        <w:t xml:space="preserve"> The time scale for phase continuity for OCC is similar or smaller than </w:t>
      </w:r>
      <w:r w:rsidR="00D2299F">
        <w:rPr>
          <w:b/>
        </w:rPr>
        <w:t>for DMRS-bundling.</w:t>
      </w:r>
    </w:p>
    <w:p w14:paraId="16CD2A05" w14:textId="3243274B" w:rsidR="005B0CA2" w:rsidRDefault="00775FE4" w:rsidP="00445E27">
      <w:pPr>
        <w:spacing w:after="120"/>
        <w:rPr>
          <w:bCs/>
        </w:rPr>
      </w:pPr>
      <w:r w:rsidRPr="00775FE4">
        <w:rPr>
          <w:bCs/>
        </w:rPr>
        <w:t>The f</w:t>
      </w:r>
      <w:r>
        <w:rPr>
          <w:bCs/>
        </w:rPr>
        <w:t>undamental purpose of the requirements is also the same: to ensure that transmission in consecutive slots can be processed together.</w:t>
      </w:r>
      <w:r w:rsidR="00D13B40">
        <w:rPr>
          <w:bCs/>
        </w:rPr>
        <w:t xml:space="preserve"> </w:t>
      </w:r>
      <w:r w:rsidR="00F10725">
        <w:rPr>
          <w:bCs/>
        </w:rPr>
        <w:t xml:space="preserve">For NTN use case it is also expected that low order modulations are used similar to </w:t>
      </w:r>
      <w:r w:rsidR="00FF255D">
        <w:rPr>
          <w:bCs/>
        </w:rPr>
        <w:t xml:space="preserve">DMRS-signal. </w:t>
      </w:r>
      <w:r w:rsidR="00D13B40">
        <w:rPr>
          <w:bCs/>
        </w:rPr>
        <w:t>As such</w:t>
      </w:r>
      <w:r w:rsidR="00775805">
        <w:rPr>
          <w:bCs/>
        </w:rPr>
        <w:t>, the same accuracy require</w:t>
      </w:r>
      <w:r w:rsidR="006A132D">
        <w:rPr>
          <w:bCs/>
        </w:rPr>
        <w:t>ment can be applied to phase continuity and power consistency for OCC purpose.</w:t>
      </w:r>
    </w:p>
    <w:p w14:paraId="26D9653E" w14:textId="0950A9A8" w:rsidR="005B0CA2" w:rsidRDefault="005B0CA2" w:rsidP="00445E27">
      <w:pPr>
        <w:spacing w:after="120"/>
        <w:rPr>
          <w:b/>
        </w:rPr>
      </w:pPr>
      <w:r w:rsidRPr="00AB4DF2">
        <w:rPr>
          <w:b/>
        </w:rPr>
        <w:t xml:space="preserve">Proposal 1: DMRS-bundling requirements </w:t>
      </w:r>
      <w:r w:rsidR="00AB4DF2" w:rsidRPr="00AB4DF2">
        <w:rPr>
          <w:b/>
        </w:rPr>
        <w:t>values and side conditions for requirement applicability are</w:t>
      </w:r>
      <w:r w:rsidRPr="00AB4DF2">
        <w:rPr>
          <w:b/>
        </w:rPr>
        <w:t xml:space="preserve"> applied for OCC</w:t>
      </w:r>
      <w:r w:rsidR="003111DD">
        <w:rPr>
          <w:b/>
        </w:rPr>
        <w:t xml:space="preserve">, </w:t>
      </w:r>
      <w:r w:rsidR="00B81FE7">
        <w:rPr>
          <w:b/>
        </w:rPr>
        <w:t xml:space="preserve">and </w:t>
      </w:r>
      <w:r w:rsidR="00B81FE7" w:rsidRPr="00B81FE7">
        <w:rPr>
          <w:b/>
        </w:rPr>
        <w:t>“</w:t>
      </w:r>
      <w:r w:rsidR="00B81FE7" w:rsidRPr="00B81FE7">
        <w:rPr>
          <w:b/>
          <w:lang w:eastAsia="ja-JP"/>
        </w:rPr>
        <w:t>No UE specific and common TA updates</w:t>
      </w:r>
      <w:r w:rsidR="00B81FE7" w:rsidRPr="00B81FE7">
        <w:rPr>
          <w:b/>
          <w:lang w:eastAsia="ja-JP"/>
        </w:rPr>
        <w:t>”</w:t>
      </w:r>
      <w:r w:rsidR="00B81FE7">
        <w:rPr>
          <w:b/>
          <w:lang w:eastAsia="ja-JP"/>
        </w:rPr>
        <w:t xml:space="preserve"> are added</w:t>
      </w:r>
      <w:r w:rsidR="00AB4DF2" w:rsidRPr="00B81FE7">
        <w:rPr>
          <w:b/>
        </w:rPr>
        <w:t>.</w:t>
      </w:r>
    </w:p>
    <w:p w14:paraId="7CE5F8CA" w14:textId="77777777" w:rsidR="00B22032" w:rsidRDefault="00775805" w:rsidP="00445E27">
      <w:pPr>
        <w:spacing w:after="120"/>
        <w:rPr>
          <w:bCs/>
        </w:rPr>
      </w:pPr>
      <w:r>
        <w:rPr>
          <w:bCs/>
        </w:rPr>
        <w:t>It can be also observed that separate capabilities have been defined for DMRS bundling for GSO and NGSO operation.</w:t>
      </w:r>
      <w:r w:rsidR="00221989">
        <w:rPr>
          <w:bCs/>
        </w:rPr>
        <w:t xml:space="preserve"> It is possible that some implementations </w:t>
      </w:r>
      <w:r w:rsidR="00E20340">
        <w:rPr>
          <w:bCs/>
        </w:rPr>
        <w:t xml:space="preserve">support both GSO and NGSO, but only support OCC for one of those. Therefore, separate capabilities should be also defined for supporting OCC </w:t>
      </w:r>
      <w:r w:rsidR="00F14972">
        <w:rPr>
          <w:bCs/>
        </w:rPr>
        <w:t>in GSO and NGSO deployments. When it comes for capabilities to support OCC2 and OCC4, RAN</w:t>
      </w:r>
      <w:r w:rsidR="00B22032">
        <w:rPr>
          <w:bCs/>
        </w:rPr>
        <w:t>1 has already agreed on those in RAN1#119:</w:t>
      </w:r>
    </w:p>
    <w:p w14:paraId="71DBC0AA" w14:textId="48A50BE9" w:rsidR="00775805" w:rsidRDefault="00B22032" w:rsidP="00445E27">
      <w:pPr>
        <w:spacing w:after="120"/>
        <w:rPr>
          <w:b/>
        </w:rPr>
      </w:pPr>
      <w:r>
        <w:rPr>
          <w:rFonts w:ascii="Aptos" w:hAnsi="Aptos"/>
          <w:b/>
          <w:bCs/>
          <w:noProof/>
          <w:sz w:val="24"/>
          <w:szCs w:val="24"/>
        </w:rPr>
        <w:drawing>
          <wp:inline distT="0" distB="0" distL="0" distR="0" wp14:anchorId="59C8BAD4" wp14:editId="1B593723">
            <wp:extent cx="5031740" cy="3124835"/>
            <wp:effectExtent l="0" t="0" r="16510" b="18415"/>
            <wp:docPr id="1472519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31740" cy="3124835"/>
                    </a:xfrm>
                    <a:prstGeom prst="rect">
                      <a:avLst/>
                    </a:prstGeom>
                    <a:noFill/>
                    <a:ln>
                      <a:noFill/>
                    </a:ln>
                  </pic:spPr>
                </pic:pic>
              </a:graphicData>
            </a:graphic>
          </wp:inline>
        </w:drawing>
      </w:r>
      <w:r w:rsidR="00F14972">
        <w:rPr>
          <w:bCs/>
        </w:rPr>
        <w:t xml:space="preserve"> </w:t>
      </w:r>
    </w:p>
    <w:p w14:paraId="3BEB0A71" w14:textId="389FE692" w:rsidR="00C15BFD" w:rsidRDefault="00C15BFD" w:rsidP="00445E27">
      <w:pPr>
        <w:spacing w:after="120"/>
        <w:rPr>
          <w:bCs/>
        </w:rPr>
      </w:pPr>
      <w:r>
        <w:rPr>
          <w:bCs/>
        </w:rPr>
        <w:t>In the most recent feature list, differentiation between satellite orbits is still left open</w:t>
      </w:r>
      <w:r w:rsidR="006F21D4">
        <w:rPr>
          <w:bCs/>
        </w:rPr>
        <w:t>, so it would useful to let RAN1 know that RAN4 thinks this differentiation is useful.</w:t>
      </w:r>
    </w:p>
    <w:p w14:paraId="119996DF" w14:textId="06495776" w:rsidR="001E0303" w:rsidRPr="00C15BFD" w:rsidRDefault="00172F36" w:rsidP="00445E27">
      <w:pPr>
        <w:spacing w:after="120"/>
        <w:rPr>
          <w:bCs/>
        </w:rPr>
      </w:pPr>
      <w:r w:rsidRPr="00172F36">
        <w:rPr>
          <w:noProof/>
        </w:rPr>
        <w:lastRenderedPageBreak/>
        <w:drawing>
          <wp:inline distT="0" distB="0" distL="0" distR="0" wp14:anchorId="0B4208F8" wp14:editId="603ADC3A">
            <wp:extent cx="6628130" cy="639502"/>
            <wp:effectExtent l="0" t="0" r="0" b="0"/>
            <wp:docPr id="506360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31904" cy="659163"/>
                    </a:xfrm>
                    <a:prstGeom prst="rect">
                      <a:avLst/>
                    </a:prstGeom>
                    <a:noFill/>
                    <a:ln>
                      <a:noFill/>
                    </a:ln>
                  </pic:spPr>
                </pic:pic>
              </a:graphicData>
            </a:graphic>
          </wp:inline>
        </w:drawing>
      </w:r>
    </w:p>
    <w:p w14:paraId="0E4C1CA3" w14:textId="3B941B60" w:rsidR="00775805" w:rsidRDefault="00775805" w:rsidP="00445E27">
      <w:pPr>
        <w:spacing w:after="120"/>
        <w:rPr>
          <w:b/>
        </w:rPr>
      </w:pPr>
      <w:r>
        <w:rPr>
          <w:b/>
        </w:rPr>
        <w:t xml:space="preserve">Observation </w:t>
      </w:r>
      <w:r w:rsidR="00CA4CE5">
        <w:rPr>
          <w:b/>
        </w:rPr>
        <w:t>3</w:t>
      </w:r>
      <w:r>
        <w:rPr>
          <w:b/>
        </w:rPr>
        <w:t>: RAN1 has already agreed on separate capability on support of OCC2 and OCC4.</w:t>
      </w:r>
    </w:p>
    <w:p w14:paraId="51A801E1" w14:textId="0B342F86" w:rsidR="00AB4DF2" w:rsidRDefault="00AB4DF2" w:rsidP="00445E27">
      <w:pPr>
        <w:spacing w:after="120"/>
        <w:rPr>
          <w:b/>
        </w:rPr>
      </w:pPr>
      <w:r>
        <w:rPr>
          <w:b/>
        </w:rPr>
        <w:t xml:space="preserve">Proposal 2: Separate </w:t>
      </w:r>
      <w:r w:rsidR="000338C0">
        <w:rPr>
          <w:b/>
        </w:rPr>
        <w:t xml:space="preserve">indication is needed for </w:t>
      </w:r>
      <w:r>
        <w:rPr>
          <w:b/>
        </w:rPr>
        <w:t>support</w:t>
      </w:r>
      <w:r w:rsidR="000338C0">
        <w:rPr>
          <w:b/>
        </w:rPr>
        <w:t>ing</w:t>
      </w:r>
      <w:r>
        <w:rPr>
          <w:b/>
        </w:rPr>
        <w:t xml:space="preserve"> </w:t>
      </w:r>
      <w:r w:rsidR="00775805">
        <w:rPr>
          <w:b/>
        </w:rPr>
        <w:t xml:space="preserve">OCC </w:t>
      </w:r>
      <w:r w:rsidR="004E01B6">
        <w:rPr>
          <w:b/>
        </w:rPr>
        <w:t>in GSO and NGSO deployments.</w:t>
      </w:r>
    </w:p>
    <w:p w14:paraId="76820706" w14:textId="1F166B61" w:rsidR="00D81FF3" w:rsidRDefault="00D81FF3" w:rsidP="00445E27">
      <w:pPr>
        <w:spacing w:after="120"/>
        <w:rPr>
          <w:bCs/>
        </w:rPr>
      </w:pPr>
      <w:r w:rsidRPr="00D81FF3">
        <w:rPr>
          <w:bCs/>
        </w:rPr>
        <w:t xml:space="preserve">Given that </w:t>
      </w:r>
      <w:r>
        <w:rPr>
          <w:bCs/>
        </w:rPr>
        <w:t xml:space="preserve">RAN1 has already agreed on separate OCC2 and OCC4 capabilities, the simplest approach would be to just add </w:t>
      </w:r>
      <w:r w:rsidR="007A637C">
        <w:rPr>
          <w:bCs/>
        </w:rPr>
        <w:t xml:space="preserve">separate </w:t>
      </w:r>
      <w:r>
        <w:rPr>
          <w:bCs/>
        </w:rPr>
        <w:t xml:space="preserve">GSO and NGSO </w:t>
      </w:r>
      <w:r w:rsidR="007A637C">
        <w:rPr>
          <w:bCs/>
        </w:rPr>
        <w:t>support components to those, and enable the indication per band. This means that UE is able to tell for each band separately wh</w:t>
      </w:r>
      <w:r w:rsidR="00EC23CC">
        <w:rPr>
          <w:bCs/>
        </w:rPr>
        <w:t>ich OCC duration it supports for which deployment scenario. This also aligns the principle of the capability indication with DMRS-bundling.</w:t>
      </w:r>
    </w:p>
    <w:p w14:paraId="798756EC" w14:textId="6AF20D71" w:rsidR="002B735D" w:rsidRPr="002B735D" w:rsidRDefault="002B735D" w:rsidP="00445E27">
      <w:pPr>
        <w:spacing w:after="120"/>
        <w:rPr>
          <w:b/>
        </w:rPr>
      </w:pPr>
      <w:r w:rsidRPr="002B735D">
        <w:rPr>
          <w:b/>
        </w:rPr>
        <w:t>Proposal 3:</w:t>
      </w:r>
      <w:r>
        <w:rPr>
          <w:b/>
        </w:rPr>
        <w:t xml:space="preserve"> </w:t>
      </w:r>
      <w:r w:rsidR="00E23C87">
        <w:rPr>
          <w:b/>
        </w:rPr>
        <w:t>Include</w:t>
      </w:r>
      <w:r>
        <w:rPr>
          <w:b/>
        </w:rPr>
        <w:t xml:space="preserve"> deployment scenario indicat</w:t>
      </w:r>
      <w:r w:rsidR="00E23C87">
        <w:rPr>
          <w:b/>
        </w:rPr>
        <w:t>ion to the OCC2 and OCC4 capabilities</w:t>
      </w:r>
      <w:r w:rsidR="00F575E6">
        <w:rPr>
          <w:b/>
        </w:rPr>
        <w:t>, indication being per band.</w:t>
      </w:r>
    </w:p>
    <w:p w14:paraId="14F5A809" w14:textId="7624B3F4" w:rsidR="00E47D0B" w:rsidRDefault="004E01B6" w:rsidP="00445E27">
      <w:pPr>
        <w:spacing w:after="120"/>
        <w:rPr>
          <w:bCs/>
        </w:rPr>
      </w:pPr>
      <w:r>
        <w:rPr>
          <w:bCs/>
        </w:rPr>
        <w:t>Finally, RAN1 is asking for a reply</w:t>
      </w:r>
      <w:r w:rsidR="00B534D6">
        <w:rPr>
          <w:bCs/>
        </w:rPr>
        <w:t xml:space="preserve"> on whether the same requirements can be applied. RAN4 should respond to RAN</w:t>
      </w:r>
      <w:r w:rsidR="00860780">
        <w:rPr>
          <w:bCs/>
        </w:rPr>
        <w:t>1</w:t>
      </w:r>
      <w:r w:rsidR="00B534D6">
        <w:rPr>
          <w:bCs/>
        </w:rPr>
        <w:t xml:space="preserve"> that the same requirements and side conditions can be applied</w:t>
      </w:r>
      <w:r w:rsidR="00860780">
        <w:rPr>
          <w:bCs/>
        </w:rPr>
        <w:t xml:space="preserve"> as for DMRS-bundling</w:t>
      </w:r>
      <w:r w:rsidR="00F575E6">
        <w:rPr>
          <w:bCs/>
        </w:rPr>
        <w:t>. RAN4 should also ask RAN1 to enable UE to indicate for each band whether supported OCC length applies for GSO, NGSO or both deployment scenarios.</w:t>
      </w:r>
    </w:p>
    <w:p w14:paraId="1EC27D9D" w14:textId="6481EE00" w:rsidR="00860780" w:rsidRPr="00860780" w:rsidRDefault="00860780" w:rsidP="00860780">
      <w:pPr>
        <w:spacing w:after="120"/>
        <w:rPr>
          <w:b/>
        </w:rPr>
      </w:pPr>
      <w:r w:rsidRPr="00860780">
        <w:rPr>
          <w:b/>
        </w:rPr>
        <w:t xml:space="preserve">Proposal 4: </w:t>
      </w:r>
      <w:r>
        <w:rPr>
          <w:b/>
        </w:rPr>
        <w:t>R</w:t>
      </w:r>
      <w:r w:rsidRPr="00860780">
        <w:rPr>
          <w:b/>
        </w:rPr>
        <w:t>espond to RAN1 that the same requirements and side conditions can be applied as for DMRS-bundling</w:t>
      </w:r>
      <w:r w:rsidR="00B81FE7">
        <w:rPr>
          <w:b/>
        </w:rPr>
        <w:t>, but also “</w:t>
      </w:r>
      <w:r w:rsidR="00B81FE7" w:rsidRPr="00B81FE7">
        <w:rPr>
          <w:b/>
          <w:lang w:eastAsia="ja-JP"/>
        </w:rPr>
        <w:t>No UE specific and common TA updates</w:t>
      </w:r>
      <w:r w:rsidR="00B81FE7">
        <w:rPr>
          <w:b/>
          <w:lang w:eastAsia="ja-JP"/>
        </w:rPr>
        <w:t>” will be included</w:t>
      </w:r>
      <w:r w:rsidRPr="00860780">
        <w:rPr>
          <w:b/>
        </w:rPr>
        <w:t xml:space="preserve">. </w:t>
      </w:r>
      <w:r>
        <w:rPr>
          <w:b/>
        </w:rPr>
        <w:t>A</w:t>
      </w:r>
      <w:r w:rsidRPr="00860780">
        <w:rPr>
          <w:b/>
        </w:rPr>
        <w:t>sk RAN1 to enable UE to indicate for each band whether supported OCC length applies for GSO, NGSO or both deployment scenarios.</w:t>
      </w:r>
    </w:p>
    <w:p w14:paraId="3E148FE4" w14:textId="2659AAEE" w:rsidR="00860780" w:rsidRPr="00860780" w:rsidRDefault="00860780" w:rsidP="00445E27">
      <w:pPr>
        <w:spacing w:after="120"/>
        <w:rPr>
          <w:b/>
        </w:rPr>
      </w:pPr>
    </w:p>
    <w:p w14:paraId="4EC4759B" w14:textId="77777777" w:rsidR="00860780" w:rsidRPr="00E47D0B" w:rsidRDefault="00860780"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797EBF1"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7D63A8">
        <w:rPr>
          <w:lang w:eastAsia="ja-JP"/>
        </w:rPr>
        <w:t>NR NTN UL capacity enhancements were discussed and following observation and proposal was made:</w:t>
      </w:r>
    </w:p>
    <w:p w14:paraId="7F8764A2" w14:textId="77777777" w:rsidR="00CA4CE5" w:rsidRPr="00616613" w:rsidRDefault="00CA4CE5" w:rsidP="00CA4CE5">
      <w:pPr>
        <w:spacing w:after="120"/>
        <w:rPr>
          <w:b/>
        </w:rPr>
      </w:pPr>
      <w:r w:rsidRPr="00616613">
        <w:rPr>
          <w:b/>
        </w:rPr>
        <w:t>Observation 1:</w:t>
      </w:r>
      <w:r>
        <w:rPr>
          <w:b/>
        </w:rPr>
        <w:t xml:space="preserve"> DMRS-bundling phase continuity requirements cover also power consistency.</w:t>
      </w:r>
    </w:p>
    <w:p w14:paraId="33F4666F" w14:textId="77777777" w:rsidR="00CA4CE5" w:rsidRDefault="00CA4CE5" w:rsidP="00CA4CE5">
      <w:pPr>
        <w:spacing w:after="120"/>
        <w:rPr>
          <w:b/>
        </w:rPr>
      </w:pPr>
      <w:r w:rsidRPr="00D01ED7">
        <w:rPr>
          <w:b/>
        </w:rPr>
        <w:t>Observation 2:</w:t>
      </w:r>
      <w:r>
        <w:rPr>
          <w:b/>
        </w:rPr>
        <w:t xml:space="preserve"> The time scale for phase continuity for OCC is similar or smaller than for DMRS-bundling.</w:t>
      </w:r>
    </w:p>
    <w:p w14:paraId="16450F97" w14:textId="77777777" w:rsidR="00D2597F" w:rsidRDefault="00D2597F" w:rsidP="00D2597F">
      <w:pPr>
        <w:spacing w:after="120"/>
        <w:rPr>
          <w:b/>
        </w:rPr>
      </w:pPr>
      <w:r w:rsidRPr="00AB4DF2">
        <w:rPr>
          <w:b/>
        </w:rPr>
        <w:t>Proposal 1: DMRS-bundling requirements values and side conditions for requirement applicability are applied for OCC</w:t>
      </w:r>
      <w:r>
        <w:rPr>
          <w:b/>
        </w:rPr>
        <w:t xml:space="preserve">, and </w:t>
      </w:r>
      <w:r w:rsidRPr="00B81FE7">
        <w:rPr>
          <w:b/>
        </w:rPr>
        <w:t>“</w:t>
      </w:r>
      <w:r w:rsidRPr="00B81FE7">
        <w:rPr>
          <w:b/>
          <w:lang w:eastAsia="ja-JP"/>
        </w:rPr>
        <w:t>No UE specific and common TA updates”</w:t>
      </w:r>
      <w:r>
        <w:rPr>
          <w:b/>
          <w:lang w:eastAsia="ja-JP"/>
        </w:rPr>
        <w:t xml:space="preserve"> are added</w:t>
      </w:r>
      <w:r w:rsidRPr="00B81FE7">
        <w:rPr>
          <w:b/>
        </w:rPr>
        <w:t>.</w:t>
      </w:r>
    </w:p>
    <w:p w14:paraId="17636F71" w14:textId="77777777" w:rsidR="00CA4CE5" w:rsidRDefault="00CA4CE5" w:rsidP="00CA4CE5">
      <w:pPr>
        <w:spacing w:after="120"/>
        <w:rPr>
          <w:b/>
        </w:rPr>
      </w:pPr>
      <w:r>
        <w:rPr>
          <w:b/>
        </w:rPr>
        <w:t>Observation 3: RAN1 has already agreed on separate capability on support of OCC2 and OCC4.</w:t>
      </w:r>
    </w:p>
    <w:p w14:paraId="5CB705A2" w14:textId="77777777" w:rsidR="00CA4CE5" w:rsidRDefault="00CA4CE5" w:rsidP="00CA4CE5">
      <w:pPr>
        <w:spacing w:after="120"/>
        <w:rPr>
          <w:b/>
        </w:rPr>
      </w:pPr>
      <w:r>
        <w:rPr>
          <w:b/>
        </w:rPr>
        <w:t>Proposal 2: Separate indication is needed for supporting OCC in GSO and NGSO deployments.</w:t>
      </w:r>
    </w:p>
    <w:p w14:paraId="249BED5D" w14:textId="2D3ADCF4" w:rsidR="00CA4CE5" w:rsidRPr="002B735D" w:rsidRDefault="00CA4CE5" w:rsidP="00CA4CE5">
      <w:pPr>
        <w:spacing w:after="120"/>
        <w:rPr>
          <w:b/>
        </w:rPr>
      </w:pPr>
      <w:r w:rsidRPr="002B735D">
        <w:rPr>
          <w:b/>
        </w:rPr>
        <w:t>Proposal 3:</w:t>
      </w:r>
      <w:r>
        <w:rPr>
          <w:b/>
        </w:rPr>
        <w:t xml:space="preserve"> Include deployment scenario indication to the </w:t>
      </w:r>
      <w:r w:rsidR="003A4455">
        <w:rPr>
          <w:b/>
        </w:rPr>
        <w:t xml:space="preserve">agreed </w:t>
      </w:r>
      <w:r>
        <w:rPr>
          <w:b/>
        </w:rPr>
        <w:t>OCC2 and OCC4 capabilities, indication being per band.</w:t>
      </w:r>
    </w:p>
    <w:p w14:paraId="5E58943C" w14:textId="77777777" w:rsidR="00D2597F" w:rsidRPr="00860780" w:rsidRDefault="00D2597F" w:rsidP="00D2597F">
      <w:pPr>
        <w:spacing w:after="120"/>
        <w:rPr>
          <w:b/>
        </w:rPr>
      </w:pPr>
      <w:r w:rsidRPr="00860780">
        <w:rPr>
          <w:b/>
        </w:rPr>
        <w:t xml:space="preserve">Proposal 4: </w:t>
      </w:r>
      <w:r>
        <w:rPr>
          <w:b/>
        </w:rPr>
        <w:t>R</w:t>
      </w:r>
      <w:r w:rsidRPr="00860780">
        <w:rPr>
          <w:b/>
        </w:rPr>
        <w:t>espond to RAN1 that the same requirements and side conditions can be applied as for DMRS-bundling</w:t>
      </w:r>
      <w:r>
        <w:rPr>
          <w:b/>
        </w:rPr>
        <w:t>, but also “</w:t>
      </w:r>
      <w:r w:rsidRPr="00B81FE7">
        <w:rPr>
          <w:b/>
          <w:lang w:eastAsia="ja-JP"/>
        </w:rPr>
        <w:t>No UE specific and common TA updates</w:t>
      </w:r>
      <w:r>
        <w:rPr>
          <w:b/>
          <w:lang w:eastAsia="ja-JP"/>
        </w:rPr>
        <w:t>” will be included</w:t>
      </w:r>
      <w:r w:rsidRPr="00860780">
        <w:rPr>
          <w:b/>
        </w:rPr>
        <w:t xml:space="preserve">. </w:t>
      </w:r>
      <w:r>
        <w:rPr>
          <w:b/>
        </w:rPr>
        <w:t>A</w:t>
      </w:r>
      <w:r w:rsidRPr="00860780">
        <w:rPr>
          <w:b/>
        </w:rPr>
        <w:t>sk RAN1 to enable UE to indicate for each band whether supported OCC length applies for GSO, NGSO or both deployment scenarios.</w:t>
      </w:r>
    </w:p>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D54B99">
      <w:pPr>
        <w:pStyle w:val="CRCoverPage"/>
        <w:spacing w:after="0"/>
        <w:jc w:val="both"/>
        <w:rPr>
          <w:rFonts w:ascii="Times New Roman" w:eastAsia="MS Mincho" w:hAnsi="Times New Roman"/>
          <w:lang w:eastAsia="de-DE"/>
        </w:rPr>
      </w:pPr>
    </w:p>
    <w:p w14:paraId="4B7F169D" w14:textId="10CA9A0E" w:rsidR="00D54B99" w:rsidRDefault="00D54B99" w:rsidP="00A00962">
      <w:pPr>
        <w:pStyle w:val="CRCoverPage"/>
        <w:spacing w:after="0"/>
        <w:ind w:left="538" w:hanging="538"/>
        <w:jc w:val="both"/>
        <w:rPr>
          <w:rFonts w:ascii="Times New Roman" w:eastAsia="MS Mincho" w:hAnsi="Times New Roman"/>
          <w:lang w:eastAsia="de-DE"/>
        </w:rPr>
      </w:pPr>
      <w:r>
        <w:rPr>
          <w:rFonts w:ascii="Times New Roman" w:eastAsia="MS Mincho" w:hAnsi="Times New Roman"/>
          <w:lang w:eastAsia="de-DE"/>
        </w:rPr>
        <w:t>[1]</w:t>
      </w:r>
      <w:r w:rsidR="00BA4AE9">
        <w:rPr>
          <w:rFonts w:ascii="Times New Roman" w:eastAsia="MS Mincho" w:hAnsi="Times New Roman"/>
          <w:lang w:eastAsia="de-DE"/>
        </w:rPr>
        <w:tab/>
      </w:r>
      <w:proofErr w:type="spellStart"/>
      <w:r w:rsidR="00BA4AE9">
        <w:rPr>
          <w:rFonts w:ascii="Times New Roman" w:eastAsia="MS Mincho" w:hAnsi="Times New Roman"/>
          <w:lang w:eastAsia="de-DE"/>
        </w:rPr>
        <w:t>R4</w:t>
      </w:r>
      <w:proofErr w:type="spellEnd"/>
      <w:r w:rsidR="00BA4AE9">
        <w:rPr>
          <w:rFonts w:ascii="Times New Roman" w:eastAsia="MS Mincho" w:hAnsi="Times New Roman"/>
          <w:lang w:eastAsia="de-DE"/>
        </w:rPr>
        <w:t>-2505305/</w:t>
      </w:r>
      <w:proofErr w:type="spellStart"/>
      <w:r w:rsidR="00BA4AE9">
        <w:rPr>
          <w:rFonts w:ascii="Times New Roman" w:eastAsia="MS Mincho" w:hAnsi="Times New Roman"/>
          <w:lang w:eastAsia="de-DE"/>
        </w:rPr>
        <w:t>R1</w:t>
      </w:r>
      <w:proofErr w:type="spellEnd"/>
      <w:r w:rsidR="00BA4AE9">
        <w:rPr>
          <w:rFonts w:ascii="Times New Roman" w:eastAsia="MS Mincho" w:hAnsi="Times New Roman"/>
          <w:lang w:eastAsia="de-DE"/>
        </w:rPr>
        <w:t xml:space="preserve">-2503071, LS on </w:t>
      </w:r>
      <w:r w:rsidR="00A00962" w:rsidRPr="00A00962">
        <w:rPr>
          <w:rFonts w:ascii="Times New Roman" w:eastAsia="MS Mincho" w:hAnsi="Times New Roman"/>
          <w:lang w:eastAsia="de-DE"/>
        </w:rPr>
        <w:t xml:space="preserve">requirements for the phase continuity and power consistency for OCC with PUSCH in NR NTN </w:t>
      </w:r>
      <w:proofErr w:type="spellStart"/>
      <w:r w:rsidR="00A00962" w:rsidRPr="00A00962">
        <w:rPr>
          <w:rFonts w:ascii="Times New Roman" w:eastAsia="MS Mincho" w:hAnsi="Times New Roman"/>
          <w:lang w:eastAsia="de-DE"/>
        </w:rPr>
        <w:t>Ph3</w:t>
      </w:r>
      <w:proofErr w:type="spellEnd"/>
      <w:r w:rsidR="00A00962">
        <w:rPr>
          <w:rFonts w:ascii="Times New Roman" w:eastAsia="MS Mincho" w:hAnsi="Times New Roman"/>
          <w:lang w:eastAsia="de-DE"/>
        </w:rPr>
        <w:t>, RAN1</w:t>
      </w:r>
    </w:p>
    <w:sectPr w:rsidR="00D54B99"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EAB1" w14:textId="77777777" w:rsidR="00340ECF" w:rsidRDefault="00340ECF">
      <w:r>
        <w:separator/>
      </w:r>
    </w:p>
  </w:endnote>
  <w:endnote w:type="continuationSeparator" w:id="0">
    <w:p w14:paraId="24CCA867" w14:textId="77777777" w:rsidR="00340ECF" w:rsidRDefault="00340ECF">
      <w:r>
        <w:continuationSeparator/>
      </w:r>
    </w:p>
  </w:endnote>
  <w:endnote w:type="continuationNotice" w:id="1">
    <w:p w14:paraId="78E30590" w14:textId="77777777" w:rsidR="00340ECF" w:rsidRDefault="00340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531A" w14:textId="77777777" w:rsidR="00340ECF" w:rsidRDefault="00340ECF">
      <w:r>
        <w:separator/>
      </w:r>
    </w:p>
  </w:footnote>
  <w:footnote w:type="continuationSeparator" w:id="0">
    <w:p w14:paraId="59DCF1EE" w14:textId="77777777" w:rsidR="00340ECF" w:rsidRDefault="00340ECF">
      <w:r>
        <w:continuationSeparator/>
      </w:r>
    </w:p>
  </w:footnote>
  <w:footnote w:type="continuationNotice" w:id="1">
    <w:p w14:paraId="29DC127A" w14:textId="77777777" w:rsidR="00340ECF" w:rsidRDefault="00340E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6"/>
  </w:num>
  <w:num w:numId="2" w16cid:durableId="1813211327">
    <w:abstractNumId w:val="9"/>
  </w:num>
  <w:num w:numId="3" w16cid:durableId="56514189">
    <w:abstractNumId w:val="3"/>
  </w:num>
  <w:num w:numId="4" w16cid:durableId="343019769">
    <w:abstractNumId w:val="8"/>
  </w:num>
  <w:num w:numId="5" w16cid:durableId="1274551697">
    <w:abstractNumId w:val="17"/>
  </w:num>
  <w:num w:numId="6" w16cid:durableId="747773055">
    <w:abstractNumId w:val="18"/>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5"/>
  </w:num>
  <w:num w:numId="18" w16cid:durableId="665792756">
    <w:abstractNumId w:val="6"/>
  </w:num>
  <w:num w:numId="19" w16cid:durableId="3498442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38C0"/>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115"/>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77FDE"/>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B73"/>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2F2B"/>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4BA1"/>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19D"/>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5200"/>
    <w:rsid w:val="00166071"/>
    <w:rsid w:val="00166938"/>
    <w:rsid w:val="001679C0"/>
    <w:rsid w:val="00170085"/>
    <w:rsid w:val="00170730"/>
    <w:rsid w:val="00170D00"/>
    <w:rsid w:val="001710DA"/>
    <w:rsid w:val="0017226B"/>
    <w:rsid w:val="001725CC"/>
    <w:rsid w:val="00172CD1"/>
    <w:rsid w:val="00172D4C"/>
    <w:rsid w:val="00172F36"/>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0804"/>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303"/>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1989"/>
    <w:rsid w:val="00222080"/>
    <w:rsid w:val="00222304"/>
    <w:rsid w:val="002223B1"/>
    <w:rsid w:val="002230F6"/>
    <w:rsid w:val="0022443D"/>
    <w:rsid w:val="0022452C"/>
    <w:rsid w:val="002252F6"/>
    <w:rsid w:val="00225428"/>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1E"/>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35D"/>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4F6E"/>
    <w:rsid w:val="00305100"/>
    <w:rsid w:val="00305F1F"/>
    <w:rsid w:val="00306181"/>
    <w:rsid w:val="0030626A"/>
    <w:rsid w:val="00306819"/>
    <w:rsid w:val="003077DB"/>
    <w:rsid w:val="00307931"/>
    <w:rsid w:val="00307F7F"/>
    <w:rsid w:val="00310D5B"/>
    <w:rsid w:val="003111DD"/>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2E9"/>
    <w:rsid w:val="00336344"/>
    <w:rsid w:val="003365BE"/>
    <w:rsid w:val="00336E19"/>
    <w:rsid w:val="00336EED"/>
    <w:rsid w:val="00336FCA"/>
    <w:rsid w:val="003373C1"/>
    <w:rsid w:val="003379C7"/>
    <w:rsid w:val="00337CF7"/>
    <w:rsid w:val="00337F3A"/>
    <w:rsid w:val="00337F8D"/>
    <w:rsid w:val="00340405"/>
    <w:rsid w:val="00340D3E"/>
    <w:rsid w:val="00340ECF"/>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55"/>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BE"/>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1C6"/>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5AAA"/>
    <w:rsid w:val="004D6074"/>
    <w:rsid w:val="004D7685"/>
    <w:rsid w:val="004D76E9"/>
    <w:rsid w:val="004E01B6"/>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7D0"/>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22D"/>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899"/>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0CA2"/>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B04"/>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613"/>
    <w:rsid w:val="00616794"/>
    <w:rsid w:val="0062047D"/>
    <w:rsid w:val="00620F4C"/>
    <w:rsid w:val="00621129"/>
    <w:rsid w:val="0062130E"/>
    <w:rsid w:val="00621F53"/>
    <w:rsid w:val="0062205A"/>
    <w:rsid w:val="006240EC"/>
    <w:rsid w:val="00624820"/>
    <w:rsid w:val="00624D5A"/>
    <w:rsid w:val="00624FA9"/>
    <w:rsid w:val="00625263"/>
    <w:rsid w:val="006253BB"/>
    <w:rsid w:val="006266A3"/>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08B"/>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6DE"/>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132D"/>
    <w:rsid w:val="006A21E2"/>
    <w:rsid w:val="006A2296"/>
    <w:rsid w:val="006A256E"/>
    <w:rsid w:val="006A30DE"/>
    <w:rsid w:val="006A32AC"/>
    <w:rsid w:val="006A3B49"/>
    <w:rsid w:val="006A4158"/>
    <w:rsid w:val="006A46FF"/>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1C4"/>
    <w:rsid w:val="006C033C"/>
    <w:rsid w:val="006C0E17"/>
    <w:rsid w:val="006C0E81"/>
    <w:rsid w:val="006C1C0D"/>
    <w:rsid w:val="006C23BA"/>
    <w:rsid w:val="006C295D"/>
    <w:rsid w:val="006C30DD"/>
    <w:rsid w:val="006C32EE"/>
    <w:rsid w:val="006C3421"/>
    <w:rsid w:val="006C57F8"/>
    <w:rsid w:val="006C5812"/>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1D4"/>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58F7"/>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805"/>
    <w:rsid w:val="00775DAB"/>
    <w:rsid w:val="00775FE4"/>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093F"/>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37C"/>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45A"/>
    <w:rsid w:val="007B66AE"/>
    <w:rsid w:val="007B6E6A"/>
    <w:rsid w:val="007B755F"/>
    <w:rsid w:val="007B774B"/>
    <w:rsid w:val="007C05EA"/>
    <w:rsid w:val="007C0AF0"/>
    <w:rsid w:val="007C0D14"/>
    <w:rsid w:val="007C1C6F"/>
    <w:rsid w:val="007C237E"/>
    <w:rsid w:val="007C2FA0"/>
    <w:rsid w:val="007C35A7"/>
    <w:rsid w:val="007C3793"/>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0A76"/>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270D7"/>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B48"/>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780"/>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5AB4"/>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6C7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08FB"/>
    <w:rsid w:val="009F1646"/>
    <w:rsid w:val="009F2445"/>
    <w:rsid w:val="009F27A4"/>
    <w:rsid w:val="009F337C"/>
    <w:rsid w:val="009F3DF0"/>
    <w:rsid w:val="009F4989"/>
    <w:rsid w:val="009F7793"/>
    <w:rsid w:val="009F78C1"/>
    <w:rsid w:val="009F7966"/>
    <w:rsid w:val="009F7A9F"/>
    <w:rsid w:val="009F7B65"/>
    <w:rsid w:val="009F7FFC"/>
    <w:rsid w:val="00A00962"/>
    <w:rsid w:val="00A00CAC"/>
    <w:rsid w:val="00A0142B"/>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2313"/>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0EB3"/>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4AF"/>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01"/>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DF2"/>
    <w:rsid w:val="00AB5404"/>
    <w:rsid w:val="00AB587D"/>
    <w:rsid w:val="00AB66AA"/>
    <w:rsid w:val="00AB67E7"/>
    <w:rsid w:val="00AB6AE4"/>
    <w:rsid w:val="00AB6E61"/>
    <w:rsid w:val="00AB738B"/>
    <w:rsid w:val="00AB75B6"/>
    <w:rsid w:val="00AB7AA3"/>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440"/>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032"/>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4D6"/>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1FE7"/>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4AE9"/>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595"/>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0A6"/>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BFD"/>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261"/>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3B8"/>
    <w:rsid w:val="00CA0E78"/>
    <w:rsid w:val="00CA0F5D"/>
    <w:rsid w:val="00CA121B"/>
    <w:rsid w:val="00CA1A09"/>
    <w:rsid w:val="00CA1E63"/>
    <w:rsid w:val="00CA2850"/>
    <w:rsid w:val="00CA3AD9"/>
    <w:rsid w:val="00CA3E53"/>
    <w:rsid w:val="00CA4CE5"/>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1ED7"/>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3B40"/>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299F"/>
    <w:rsid w:val="00D23013"/>
    <w:rsid w:val="00D2310D"/>
    <w:rsid w:val="00D24113"/>
    <w:rsid w:val="00D24CA9"/>
    <w:rsid w:val="00D24FFD"/>
    <w:rsid w:val="00D25195"/>
    <w:rsid w:val="00D251F7"/>
    <w:rsid w:val="00D25215"/>
    <w:rsid w:val="00D2541A"/>
    <w:rsid w:val="00D258F6"/>
    <w:rsid w:val="00D2597F"/>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5C87"/>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4B99"/>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6429"/>
    <w:rsid w:val="00D67270"/>
    <w:rsid w:val="00D67BDF"/>
    <w:rsid w:val="00D71EDC"/>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1FF3"/>
    <w:rsid w:val="00D82398"/>
    <w:rsid w:val="00D8277E"/>
    <w:rsid w:val="00D83354"/>
    <w:rsid w:val="00D83615"/>
    <w:rsid w:val="00D83813"/>
    <w:rsid w:val="00D83C72"/>
    <w:rsid w:val="00D83CB9"/>
    <w:rsid w:val="00D83F05"/>
    <w:rsid w:val="00D8421E"/>
    <w:rsid w:val="00D84399"/>
    <w:rsid w:val="00D84CBB"/>
    <w:rsid w:val="00D85255"/>
    <w:rsid w:val="00D852C1"/>
    <w:rsid w:val="00D86E0D"/>
    <w:rsid w:val="00D87085"/>
    <w:rsid w:val="00D87784"/>
    <w:rsid w:val="00D87998"/>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24DF"/>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3638"/>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340"/>
    <w:rsid w:val="00E20FBD"/>
    <w:rsid w:val="00E210C4"/>
    <w:rsid w:val="00E210DD"/>
    <w:rsid w:val="00E21A5D"/>
    <w:rsid w:val="00E2328B"/>
    <w:rsid w:val="00E23C87"/>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47D0B"/>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3CC"/>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E25"/>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4ED0"/>
    <w:rsid w:val="00F05402"/>
    <w:rsid w:val="00F05952"/>
    <w:rsid w:val="00F05D58"/>
    <w:rsid w:val="00F05E1E"/>
    <w:rsid w:val="00F05EB0"/>
    <w:rsid w:val="00F0626A"/>
    <w:rsid w:val="00F062AE"/>
    <w:rsid w:val="00F063FC"/>
    <w:rsid w:val="00F0724C"/>
    <w:rsid w:val="00F073CE"/>
    <w:rsid w:val="00F074D2"/>
    <w:rsid w:val="00F100EE"/>
    <w:rsid w:val="00F10608"/>
    <w:rsid w:val="00F10725"/>
    <w:rsid w:val="00F10C25"/>
    <w:rsid w:val="00F11559"/>
    <w:rsid w:val="00F11B50"/>
    <w:rsid w:val="00F11CCA"/>
    <w:rsid w:val="00F1207E"/>
    <w:rsid w:val="00F12CE8"/>
    <w:rsid w:val="00F1326A"/>
    <w:rsid w:val="00F144FC"/>
    <w:rsid w:val="00F14520"/>
    <w:rsid w:val="00F1458D"/>
    <w:rsid w:val="00F14972"/>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153"/>
    <w:rsid w:val="00F31B84"/>
    <w:rsid w:val="00F32862"/>
    <w:rsid w:val="00F32A6C"/>
    <w:rsid w:val="00F33A39"/>
    <w:rsid w:val="00F33CBB"/>
    <w:rsid w:val="00F350EF"/>
    <w:rsid w:val="00F3562A"/>
    <w:rsid w:val="00F366B2"/>
    <w:rsid w:val="00F36826"/>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5E6"/>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55D"/>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2.png@01DBB839.B3986FC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3</Pages>
  <Words>800</Words>
  <Characters>4365</Characters>
  <Application>Microsoft Office Word</Application>
  <DocSecurity>0</DocSecurity>
  <Lines>36</Lines>
  <Paragraphs>10</Paragraphs>
  <ScaleCrop>false</ScaleCrop>
  <Company>NEC Group</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102</cp:revision>
  <cp:lastPrinted>2012-09-28T09:55:00Z</cp:lastPrinted>
  <dcterms:created xsi:type="dcterms:W3CDTF">2025-02-02T10:33:00Z</dcterms:created>
  <dcterms:modified xsi:type="dcterms:W3CDTF">2025-08-15T18:55:00Z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